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F" w:rsidRDefault="00E74D8F"/>
    <w:p w:rsidR="00136DFF" w:rsidRDefault="00136DFF"/>
    <w:p w:rsidR="00DA7785" w:rsidRPr="00D74B0C" w:rsidRDefault="00CB451F" w:rsidP="00AF55C1">
      <w:pPr>
        <w:jc w:val="center"/>
        <w:rPr>
          <w:rFonts w:cstheme="minorHAnsi"/>
          <w:b/>
          <w:sz w:val="44"/>
          <w:lang w:val="es-ES"/>
        </w:rPr>
      </w:pPr>
      <w:r w:rsidRPr="00D74B0C">
        <w:rPr>
          <w:rFonts w:cstheme="minorHAnsi"/>
          <w:b/>
          <w:sz w:val="44"/>
          <w:lang w:val="es-ES"/>
        </w:rPr>
        <w:t>D</w:t>
      </w:r>
      <w:r w:rsidR="00136DFF" w:rsidRPr="00D74B0C">
        <w:rPr>
          <w:rFonts w:cstheme="minorHAnsi"/>
          <w:b/>
          <w:sz w:val="44"/>
          <w:lang w:val="es-ES"/>
        </w:rPr>
        <w:t>ESCRIPCIÓN Y PERFIL DEL CARGO DE</w:t>
      </w:r>
      <w:r w:rsidR="00136DFF" w:rsidRPr="00136DFF">
        <w:rPr>
          <w:b/>
          <w:sz w:val="44"/>
          <w:lang w:val="es-ES"/>
        </w:rPr>
        <w:t xml:space="preserve"> </w:t>
      </w:r>
      <w:r w:rsidR="00136DFF" w:rsidRPr="00D74B0C">
        <w:rPr>
          <w:rFonts w:cstheme="minorHAnsi"/>
          <w:b/>
          <w:sz w:val="44"/>
          <w:lang w:val="es-ES"/>
        </w:rPr>
        <w:t>PRESIDENTE MUNICIPAL</w:t>
      </w:r>
      <w:r w:rsidR="00746C2D">
        <w:rPr>
          <w:rFonts w:cstheme="minorHAnsi"/>
          <w:b/>
          <w:sz w:val="44"/>
          <w:lang w:val="es-ES"/>
        </w:rPr>
        <w:t xml:space="preserve"> INTERINO</w:t>
      </w: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D0846" w:rsidRPr="00D74B0C" w:rsidTr="009D0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D0846" w:rsidRPr="00D74B0C" w:rsidRDefault="00C37EB2" w:rsidP="003E1945">
            <w:pPr>
              <w:rPr>
                <w:rFonts w:cstheme="minorHAnsi"/>
                <w:b w:val="0"/>
                <w:sz w:val="36"/>
                <w:u w:val="single"/>
                <w:lang w:val="es-ES"/>
              </w:rPr>
            </w:pPr>
            <w:r w:rsidRPr="00D74B0C">
              <w:rPr>
                <w:rFonts w:cstheme="minorHAnsi"/>
                <w:b w:val="0"/>
                <w:color w:val="000000" w:themeColor="text1"/>
                <w:sz w:val="36"/>
                <w:u w:val="single"/>
                <w:lang w:val="es-ES"/>
              </w:rPr>
              <w:t>ANÁ</w:t>
            </w:r>
            <w:r w:rsidR="009D0846" w:rsidRPr="00D74B0C">
              <w:rPr>
                <w:rFonts w:cstheme="minorHAnsi"/>
                <w:b w:val="0"/>
                <w:color w:val="000000" w:themeColor="text1"/>
                <w:sz w:val="36"/>
                <w:u w:val="single"/>
                <w:lang w:val="es-ES"/>
              </w:rPr>
              <w:t>LISIS DE PUESTO</w:t>
            </w:r>
          </w:p>
        </w:tc>
      </w:tr>
      <w:tr w:rsidR="009D0846" w:rsidRPr="00D74B0C" w:rsidTr="009D0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D0846" w:rsidRPr="00D74B0C" w:rsidRDefault="009D0846" w:rsidP="003E1945">
            <w:pPr>
              <w:rPr>
                <w:rFonts w:cstheme="minorHAnsi"/>
                <w:b w:val="0"/>
                <w:sz w:val="36"/>
                <w:u w:val="single"/>
                <w:lang w:val="es-ES"/>
              </w:rPr>
            </w:pPr>
          </w:p>
        </w:tc>
      </w:tr>
      <w:tr w:rsidR="009D0846" w:rsidRPr="00404047" w:rsidTr="009D0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D0846" w:rsidRPr="00D74B0C" w:rsidRDefault="009D0846" w:rsidP="003E1945">
            <w:pPr>
              <w:jc w:val="both"/>
              <w:rPr>
                <w:rFonts w:cstheme="minorHAnsi"/>
                <w:color w:val="202124"/>
                <w:sz w:val="28"/>
                <w:shd w:val="clear" w:color="auto" w:fill="FFFFFF"/>
                <w:lang w:val="es-ES"/>
              </w:rPr>
            </w:pPr>
            <w:r w:rsidRPr="00D74B0C">
              <w:rPr>
                <w:rFonts w:cstheme="minorHAnsi"/>
                <w:b w:val="0"/>
                <w:sz w:val="36"/>
                <w:lang w:val="es-ES"/>
              </w:rPr>
              <w:t xml:space="preserve">Objetivo: </w:t>
            </w:r>
            <w:r w:rsidRPr="00D74B0C">
              <w:rPr>
                <w:rFonts w:cstheme="minorHAnsi"/>
                <w:color w:val="202124"/>
                <w:sz w:val="28"/>
                <w:shd w:val="clear" w:color="auto" w:fill="FFFFFF"/>
                <w:lang w:val="es-ES"/>
              </w:rPr>
              <w:t>Sustentar la representación política y administrativa del Ayuntamiento, así como el ejecutor de sus determinaciones. Responsable directo de la Administración Pública </w:t>
            </w:r>
            <w:r w:rsidRPr="00D74B0C">
              <w:rPr>
                <w:rFonts w:cstheme="minorHAnsi"/>
                <w:bCs w:val="0"/>
                <w:color w:val="202124"/>
                <w:sz w:val="28"/>
                <w:shd w:val="clear" w:color="auto" w:fill="FFFFFF"/>
                <w:lang w:val="es-ES"/>
              </w:rPr>
              <w:t>Municipal</w:t>
            </w:r>
            <w:r w:rsidRPr="00D74B0C">
              <w:rPr>
                <w:rFonts w:cstheme="minorHAnsi"/>
                <w:color w:val="202124"/>
                <w:sz w:val="28"/>
                <w:shd w:val="clear" w:color="auto" w:fill="FFFFFF"/>
                <w:lang w:val="es-ES"/>
              </w:rPr>
              <w:t> y el encargado de cuidar la correcta prestación de los servicios públicos.</w:t>
            </w:r>
          </w:p>
        </w:tc>
      </w:tr>
      <w:tr w:rsidR="009D0846" w:rsidRPr="00404047" w:rsidTr="009D0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D0846" w:rsidRPr="00D74B0C" w:rsidRDefault="009D0846" w:rsidP="003E1945">
            <w:pPr>
              <w:jc w:val="both"/>
              <w:rPr>
                <w:rFonts w:cstheme="minorHAnsi"/>
                <w:color w:val="202124"/>
                <w:sz w:val="28"/>
                <w:shd w:val="clear" w:color="auto" w:fill="FFFFFF"/>
                <w:lang w:val="es-ES"/>
              </w:rPr>
            </w:pPr>
          </w:p>
        </w:tc>
      </w:tr>
      <w:tr w:rsidR="009D0846" w:rsidRPr="00D74B0C" w:rsidTr="009D0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9D0846" w:rsidRPr="00D74B0C" w:rsidRDefault="009D0846" w:rsidP="003E1945">
            <w:pPr>
              <w:jc w:val="both"/>
              <w:rPr>
                <w:rFonts w:cstheme="minorHAnsi"/>
                <w:color w:val="202124"/>
                <w:sz w:val="32"/>
                <w:shd w:val="clear" w:color="auto" w:fill="FFFFFF"/>
                <w:lang w:val="es-ES"/>
              </w:rPr>
            </w:pPr>
            <w:r w:rsidRPr="00D74B0C">
              <w:rPr>
                <w:rFonts w:cstheme="minorHAnsi"/>
                <w:color w:val="202124"/>
                <w:sz w:val="32"/>
                <w:shd w:val="clear" w:color="auto" w:fill="FFFFFF"/>
                <w:lang w:val="es-ES"/>
              </w:rPr>
              <w:t xml:space="preserve">Atribuciones del Presidente Municipal </w:t>
            </w:r>
            <w:r w:rsidR="00746C2D">
              <w:rPr>
                <w:rFonts w:cstheme="minorHAnsi"/>
                <w:color w:val="202124"/>
                <w:sz w:val="32"/>
                <w:shd w:val="clear" w:color="auto" w:fill="FFFFFF"/>
                <w:lang w:val="es-ES"/>
              </w:rPr>
              <w:t>Interino</w:t>
            </w:r>
          </w:p>
        </w:tc>
      </w:tr>
    </w:tbl>
    <w:p w:rsidR="00AF55C1" w:rsidRDefault="00AF55C1" w:rsidP="00AF55C1">
      <w:pPr>
        <w:ind w:right="523"/>
        <w:rPr>
          <w:b/>
          <w:i/>
        </w:rPr>
      </w:pPr>
    </w:p>
    <w:p w:rsidR="00AF55C1" w:rsidRPr="00AF55C1" w:rsidRDefault="00AF55C1" w:rsidP="00AF55C1">
      <w:pPr>
        <w:ind w:right="523"/>
        <w:rPr>
          <w:rFonts w:cstheme="minorHAnsi"/>
          <w:b/>
          <w:lang w:val="es-ES"/>
        </w:rPr>
      </w:pPr>
      <w:proofErr w:type="spellStart"/>
      <w:r w:rsidRPr="00AF55C1">
        <w:rPr>
          <w:i/>
          <w:sz w:val="24"/>
          <w:szCs w:val="24"/>
        </w:rPr>
        <w:t>Presidente</w:t>
      </w:r>
      <w:proofErr w:type="spellEnd"/>
      <w:r w:rsidRPr="00AF55C1">
        <w:rPr>
          <w:i/>
          <w:sz w:val="24"/>
          <w:szCs w:val="24"/>
        </w:rPr>
        <w:t xml:space="preserve"> municipal </w:t>
      </w:r>
      <w:proofErr w:type="spellStart"/>
      <w:proofErr w:type="gramStart"/>
      <w:r w:rsidRPr="00AF55C1">
        <w:rPr>
          <w:i/>
          <w:sz w:val="24"/>
          <w:szCs w:val="24"/>
        </w:rPr>
        <w:t>interino</w:t>
      </w:r>
      <w:proofErr w:type="spellEnd"/>
      <w:r w:rsidRPr="00AF55C1">
        <w:rPr>
          <w:i/>
          <w:sz w:val="24"/>
          <w:szCs w:val="24"/>
        </w:rPr>
        <w:t xml:space="preserve"> </w:t>
      </w:r>
      <w:r w:rsidRPr="00AF55C1">
        <w:rPr>
          <w:sz w:val="24"/>
          <w:szCs w:val="24"/>
        </w:rPr>
        <w:t xml:space="preserve"> </w:t>
      </w:r>
      <w:proofErr w:type="spellStart"/>
      <w:r w:rsidRPr="00AF55C1">
        <w:rPr>
          <w:sz w:val="24"/>
          <w:szCs w:val="24"/>
        </w:rPr>
        <w:t>Artículo</w:t>
      </w:r>
      <w:proofErr w:type="spellEnd"/>
      <w:proofErr w:type="gramEnd"/>
      <w:r w:rsidRPr="00AF55C1">
        <w:rPr>
          <w:sz w:val="24"/>
          <w:szCs w:val="24"/>
        </w:rPr>
        <w:t xml:space="preserve"> 54.</w:t>
      </w:r>
      <w:r w:rsidRPr="00AF55C1">
        <w:rPr>
          <w:b/>
          <w:sz w:val="24"/>
          <w:szCs w:val="24"/>
        </w:rPr>
        <w:t xml:space="preserve"> </w:t>
      </w:r>
      <w:r w:rsidRPr="00AF55C1">
        <w:t xml:space="preserve">La </w:t>
      </w:r>
      <w:proofErr w:type="spellStart"/>
      <w:r w:rsidRPr="00AF55C1">
        <w:t>falta</w:t>
      </w:r>
      <w:proofErr w:type="spellEnd"/>
      <w:r w:rsidRPr="00AF55C1">
        <w:t xml:space="preserve"> del </w:t>
      </w:r>
      <w:proofErr w:type="spellStart"/>
      <w:r w:rsidRPr="00AF55C1">
        <w:t>presidente</w:t>
      </w:r>
      <w:proofErr w:type="spellEnd"/>
      <w:r w:rsidRPr="00AF55C1">
        <w:t xml:space="preserve"> municipal </w:t>
      </w:r>
      <w:proofErr w:type="spellStart"/>
      <w:r w:rsidRPr="00AF55C1">
        <w:t>por</w:t>
      </w:r>
      <w:proofErr w:type="spellEnd"/>
      <w:r w:rsidRPr="00AF55C1">
        <w:t xml:space="preserve"> </w:t>
      </w:r>
      <w:proofErr w:type="spellStart"/>
      <w:r w:rsidRPr="00AF55C1">
        <w:t>más</w:t>
      </w:r>
      <w:proofErr w:type="spellEnd"/>
      <w:r w:rsidRPr="00AF55C1">
        <w:t xml:space="preserve"> de </w:t>
      </w:r>
      <w:proofErr w:type="spellStart"/>
      <w:r w:rsidRPr="00AF55C1">
        <w:t>sesenta</w:t>
      </w:r>
      <w:proofErr w:type="spellEnd"/>
      <w:r w:rsidRPr="00AF55C1">
        <w:t xml:space="preserve"> y </w:t>
      </w:r>
      <w:proofErr w:type="spellStart"/>
      <w:r w:rsidRPr="00AF55C1">
        <w:t>cinco</w:t>
      </w:r>
      <w:proofErr w:type="spellEnd"/>
      <w:r w:rsidRPr="00AF55C1">
        <w:t xml:space="preserve"> </w:t>
      </w:r>
      <w:proofErr w:type="spellStart"/>
      <w:r w:rsidRPr="00AF55C1">
        <w:t>días</w:t>
      </w:r>
      <w:proofErr w:type="spellEnd"/>
      <w:r w:rsidRPr="00AF55C1">
        <w:t xml:space="preserve">, </w:t>
      </w:r>
      <w:proofErr w:type="spellStart"/>
      <w:r w:rsidRPr="00AF55C1">
        <w:t>por</w:t>
      </w:r>
      <w:proofErr w:type="spellEnd"/>
      <w:r w:rsidRPr="00AF55C1">
        <w:t xml:space="preserve"> </w:t>
      </w:r>
      <w:proofErr w:type="spellStart"/>
      <w:r w:rsidRPr="00AF55C1">
        <w:t>licencia</w:t>
      </w:r>
      <w:proofErr w:type="spellEnd"/>
      <w:r w:rsidRPr="00AF55C1">
        <w:t xml:space="preserve">, </w:t>
      </w:r>
      <w:proofErr w:type="spellStart"/>
      <w:r w:rsidRPr="00AF55C1">
        <w:t>permiso</w:t>
      </w:r>
      <w:proofErr w:type="spellEnd"/>
      <w:r w:rsidRPr="00AF55C1">
        <w:t xml:space="preserve"> o causa </w:t>
      </w:r>
      <w:proofErr w:type="spellStart"/>
      <w:r w:rsidRPr="00AF55C1">
        <w:t>justificada</w:t>
      </w:r>
      <w:proofErr w:type="spellEnd"/>
      <w:r w:rsidRPr="00AF55C1">
        <w:t xml:space="preserve">, </w:t>
      </w:r>
      <w:proofErr w:type="spellStart"/>
      <w:r w:rsidRPr="00AF55C1">
        <w:t>será</w:t>
      </w:r>
      <w:proofErr w:type="spellEnd"/>
      <w:r w:rsidRPr="00AF55C1">
        <w:t xml:space="preserve"> </w:t>
      </w:r>
      <w:proofErr w:type="spellStart"/>
      <w:r w:rsidRPr="00AF55C1">
        <w:t>cubierta</w:t>
      </w:r>
      <w:proofErr w:type="spellEnd"/>
      <w:r w:rsidRPr="00AF55C1">
        <w:t xml:space="preserve"> </w:t>
      </w:r>
      <w:proofErr w:type="spellStart"/>
      <w:r w:rsidRPr="00AF55C1">
        <w:t>por</w:t>
      </w:r>
      <w:proofErr w:type="spellEnd"/>
      <w:r w:rsidRPr="00AF55C1">
        <w:t xml:space="preserve"> un </w:t>
      </w:r>
      <w:proofErr w:type="spellStart"/>
      <w:r w:rsidRPr="00AF55C1">
        <w:t>presidente</w:t>
      </w:r>
      <w:proofErr w:type="spellEnd"/>
      <w:r w:rsidRPr="00AF55C1">
        <w:t xml:space="preserve"> municipal </w:t>
      </w:r>
      <w:proofErr w:type="spellStart"/>
      <w:r w:rsidRPr="00AF55C1">
        <w:t>interino</w:t>
      </w:r>
      <w:proofErr w:type="spellEnd"/>
      <w:r w:rsidRPr="00AF55C1">
        <w:t xml:space="preserve">, </w:t>
      </w:r>
      <w:proofErr w:type="spellStart"/>
      <w:r w:rsidRPr="00AF55C1">
        <w:t>propuesto</w:t>
      </w:r>
      <w:proofErr w:type="spellEnd"/>
      <w:r w:rsidRPr="00AF55C1">
        <w:t xml:space="preserve"> </w:t>
      </w:r>
      <w:proofErr w:type="spellStart"/>
      <w:r w:rsidRPr="00AF55C1">
        <w:t>por</w:t>
      </w:r>
      <w:proofErr w:type="spellEnd"/>
      <w:r w:rsidRPr="00AF55C1">
        <w:t xml:space="preserve"> </w:t>
      </w:r>
      <w:proofErr w:type="spellStart"/>
      <w:r w:rsidRPr="00AF55C1">
        <w:t>los</w:t>
      </w:r>
      <w:proofErr w:type="spellEnd"/>
      <w:r w:rsidRPr="00AF55C1">
        <w:t xml:space="preserve"> </w:t>
      </w:r>
      <w:proofErr w:type="spellStart"/>
      <w:r w:rsidRPr="00AF55C1">
        <w:t>integrantes</w:t>
      </w:r>
      <w:proofErr w:type="spellEnd"/>
      <w:r w:rsidRPr="00AF55C1">
        <w:t xml:space="preserve"> del </w:t>
      </w:r>
      <w:proofErr w:type="spellStart"/>
      <w:r w:rsidRPr="00AF55C1">
        <w:t>Ayuntamiento</w:t>
      </w:r>
      <w:proofErr w:type="spellEnd"/>
      <w:r w:rsidRPr="00AF55C1">
        <w:t xml:space="preserve">, </w:t>
      </w:r>
      <w:proofErr w:type="spellStart"/>
      <w:r w:rsidRPr="00AF55C1">
        <w:t>cuya</w:t>
      </w:r>
      <w:proofErr w:type="spellEnd"/>
      <w:r w:rsidRPr="00AF55C1">
        <w:t xml:space="preserve"> </w:t>
      </w:r>
      <w:proofErr w:type="spellStart"/>
      <w:r w:rsidRPr="00AF55C1">
        <w:t>planilla</w:t>
      </w:r>
      <w:proofErr w:type="spellEnd"/>
      <w:r w:rsidRPr="00AF55C1">
        <w:t xml:space="preserve"> </w:t>
      </w:r>
      <w:proofErr w:type="spellStart"/>
      <w:r w:rsidRPr="00AF55C1">
        <w:t>haya</w:t>
      </w:r>
      <w:proofErr w:type="spellEnd"/>
      <w:r w:rsidRPr="00AF55C1">
        <w:t xml:space="preserve"> </w:t>
      </w:r>
      <w:proofErr w:type="spellStart"/>
      <w:r w:rsidRPr="00AF55C1">
        <w:t>obtenido</w:t>
      </w:r>
      <w:proofErr w:type="spellEnd"/>
      <w:r w:rsidRPr="00AF55C1">
        <w:t xml:space="preserve"> el primer </w:t>
      </w:r>
      <w:proofErr w:type="spellStart"/>
      <w:r w:rsidRPr="00AF55C1">
        <w:t>lugar</w:t>
      </w:r>
      <w:proofErr w:type="spellEnd"/>
      <w:r w:rsidRPr="00AF55C1">
        <w:t xml:space="preserve"> de la </w:t>
      </w:r>
      <w:proofErr w:type="spellStart"/>
      <w:r w:rsidRPr="00AF55C1">
        <w:t>votación</w:t>
      </w:r>
      <w:proofErr w:type="spellEnd"/>
      <w:r w:rsidRPr="00AF55C1">
        <w:t xml:space="preserve"> </w:t>
      </w:r>
      <w:proofErr w:type="spellStart"/>
      <w:r w:rsidRPr="00AF55C1">
        <w:t>en</w:t>
      </w:r>
      <w:proofErr w:type="spellEnd"/>
      <w:r w:rsidRPr="00AF55C1">
        <w:t xml:space="preserve"> la </w:t>
      </w:r>
      <w:proofErr w:type="spellStart"/>
      <w:r w:rsidRPr="00AF55C1">
        <w:t>elección</w:t>
      </w:r>
      <w:proofErr w:type="spellEnd"/>
      <w:r w:rsidRPr="00AF55C1">
        <w:t xml:space="preserve"> del </w:t>
      </w:r>
      <w:proofErr w:type="spellStart"/>
      <w:r w:rsidRPr="00AF55C1">
        <w:t>Ayuntamiento</w:t>
      </w:r>
      <w:proofErr w:type="spellEnd"/>
      <w:r w:rsidRPr="00AF55C1">
        <w:t xml:space="preserve"> </w:t>
      </w:r>
      <w:proofErr w:type="spellStart"/>
      <w:r w:rsidRPr="00AF55C1">
        <w:t>en</w:t>
      </w:r>
      <w:proofErr w:type="spellEnd"/>
      <w:r w:rsidRPr="00AF55C1">
        <w:t xml:space="preserve"> </w:t>
      </w:r>
      <w:proofErr w:type="spellStart"/>
      <w:r w:rsidRPr="00AF55C1">
        <w:t>funciones</w:t>
      </w:r>
      <w:proofErr w:type="spellEnd"/>
      <w:r w:rsidRPr="00AF55C1">
        <w:t xml:space="preserve">, el </w:t>
      </w:r>
      <w:proofErr w:type="spellStart"/>
      <w:r w:rsidRPr="00AF55C1">
        <w:t>cual</w:t>
      </w:r>
      <w:proofErr w:type="spellEnd"/>
      <w:r w:rsidRPr="00AF55C1">
        <w:t xml:space="preserve"> </w:t>
      </w:r>
      <w:proofErr w:type="spellStart"/>
      <w:r w:rsidRPr="00AF55C1">
        <w:t>será</w:t>
      </w:r>
      <w:proofErr w:type="spellEnd"/>
      <w:r w:rsidRPr="00AF55C1">
        <w:t xml:space="preserve"> </w:t>
      </w:r>
      <w:proofErr w:type="spellStart"/>
      <w:r w:rsidRPr="00AF55C1">
        <w:t>designado</w:t>
      </w:r>
      <w:proofErr w:type="spellEnd"/>
      <w:r w:rsidRPr="00AF55C1">
        <w:t xml:space="preserve"> </w:t>
      </w:r>
      <w:proofErr w:type="spellStart"/>
      <w:r w:rsidRPr="00AF55C1">
        <w:t>por</w:t>
      </w:r>
      <w:proofErr w:type="spellEnd"/>
      <w:r w:rsidRPr="00AF55C1">
        <w:t xml:space="preserve"> </w:t>
      </w:r>
      <w:proofErr w:type="spellStart"/>
      <w:r w:rsidRPr="00AF55C1">
        <w:t>mayoría</w:t>
      </w:r>
      <w:proofErr w:type="spellEnd"/>
      <w:r w:rsidRPr="00AF55C1">
        <w:t xml:space="preserve"> simple de </w:t>
      </w:r>
      <w:proofErr w:type="spellStart"/>
      <w:r w:rsidRPr="00AF55C1">
        <w:t>votos</w:t>
      </w:r>
      <w:proofErr w:type="spellEnd"/>
      <w:r w:rsidRPr="00AF55C1">
        <w:t xml:space="preserve">.                                                </w:t>
      </w:r>
      <w:proofErr w:type="spellStart"/>
      <w:r w:rsidRPr="00AF55C1">
        <w:t>Párrafo</w:t>
      </w:r>
      <w:proofErr w:type="spellEnd"/>
      <w:r w:rsidRPr="00AF55C1">
        <w:t xml:space="preserve"> </w:t>
      </w:r>
      <w:proofErr w:type="spellStart"/>
      <w:r w:rsidRPr="00AF55C1">
        <w:t>reformado</w:t>
      </w:r>
      <w:proofErr w:type="spellEnd"/>
      <w:r w:rsidRPr="00AF55C1">
        <w:t xml:space="preserve"> P.O. 26-10-2017 </w:t>
      </w:r>
      <w:bookmarkStart w:id="0" w:name="_GoBack"/>
      <w:bookmarkEnd w:id="0"/>
    </w:p>
    <w:p w:rsidR="00145213" w:rsidRPr="00D74B0C" w:rsidRDefault="00DB300F" w:rsidP="00DA7785">
      <w:pPr>
        <w:jc w:val="both"/>
        <w:rPr>
          <w:rFonts w:cstheme="minorHAnsi"/>
          <w:color w:val="202124"/>
          <w:sz w:val="28"/>
          <w:shd w:val="clear" w:color="auto" w:fill="FFFFFF"/>
          <w:lang w:val="es-ES"/>
        </w:rPr>
      </w:pPr>
      <w:r w:rsidRPr="00D74B0C">
        <w:rPr>
          <w:rFonts w:cstheme="minorHAnsi"/>
          <w:i/>
          <w:color w:val="202124"/>
          <w:sz w:val="24"/>
          <w:shd w:val="clear" w:color="auto" w:fill="FFFFFF"/>
          <w:lang w:val="es-ES"/>
        </w:rPr>
        <w:t>(</w:t>
      </w:r>
      <w:r w:rsidR="00B163FD" w:rsidRPr="00D74B0C">
        <w:rPr>
          <w:rFonts w:cstheme="minorHAnsi"/>
          <w:i/>
          <w:color w:val="202124"/>
          <w:sz w:val="24"/>
          <w:shd w:val="clear" w:color="auto" w:fill="FFFFFF"/>
          <w:lang w:val="es-ES"/>
        </w:rPr>
        <w:t>LOMEG</w:t>
      </w:r>
      <w:r w:rsidRPr="00D74B0C">
        <w:rPr>
          <w:rFonts w:cstheme="minorHAnsi"/>
          <w:i/>
          <w:color w:val="202124"/>
          <w:sz w:val="24"/>
          <w:shd w:val="clear" w:color="auto" w:fill="FFFFFF"/>
          <w:lang w:val="es-ES"/>
        </w:rPr>
        <w:t>, art. 77 fracción de la I a la XXIII).</w:t>
      </w:r>
    </w:p>
    <w:tbl>
      <w:tblPr>
        <w:tblStyle w:val="Tabladecuadrcula7concolores-nfasis6"/>
        <w:tblW w:w="0" w:type="auto"/>
        <w:tblLook w:val="04A0" w:firstRow="1" w:lastRow="0" w:firstColumn="1" w:lastColumn="0" w:noHBand="0" w:noVBand="1"/>
      </w:tblPr>
      <w:tblGrid>
        <w:gridCol w:w="8812"/>
      </w:tblGrid>
      <w:tr w:rsidR="009D0846" w:rsidRPr="00404047" w:rsidTr="001F1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 w:val="0"/>
                <w:color w:val="000000" w:themeColor="text1"/>
                <w:lang w:val="es-ES"/>
              </w:rPr>
              <w:t>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>Ejecutar las determinaciones del Ayuntamiento y coordinar la Administración Pública municipal.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Cumplir y hacer cumplir las leyes, reglamentos, bandos de policía y buen Gobierno, y demás disposiciones legales del orden Municipal, Estatal y Federal.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III.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Presidir las sesiones del Ayuntamiento, en las que tendrá en caso de empate, además de su voto individual, el voto dirimente.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IV.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Representar al Ayuntamiento en todos los actos oficiales y delegar, en su caso, esta representación.</w:t>
            </w:r>
          </w:p>
        </w:tc>
      </w:tr>
      <w:tr w:rsidR="009D0846" w:rsidRPr="00404047" w:rsidTr="001F1169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V.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Presentar al Ayuntamiento iniciativas de reglamentos, bandos y demás disposiciones administrativas de observancia general o de reformas y adiciones en su caso; Ley Orgánica Municipal para el Estado de Guanajuato H. CONGRESO DEL ESTADO DE GUANAJUATO Expidió: LXI Legislatura Secretaría General Publicada: P.O. Núm. 146, Cuarta Parte, 11-09-2012 Instituto de Investigaciones Legislativas Última reforma: P.O. Núm. 98, Cuarta Parte, 20-06-2017 Página 28 de 97.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AF55C1" w:rsidRDefault="00AF55C1" w:rsidP="005A4D61">
            <w:pPr>
              <w:jc w:val="both"/>
              <w:rPr>
                <w:rFonts w:cstheme="minorHAnsi"/>
                <w:b/>
                <w:color w:val="000000" w:themeColor="text1"/>
                <w:lang w:val="es-ES"/>
              </w:rPr>
            </w:pPr>
          </w:p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lastRenderedPageBreak/>
              <w:t>VI.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Promulgar y ordenar la publicación en el Periódico Oficial del Gobierno del Estado, de los reglamentos, bandos de policía y buen gobierno, acuerdos y demás disposiciones administrativas de observancia general, aprobados por el Ayuntamiento.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lastRenderedPageBreak/>
              <w:t xml:space="preserve"> VII.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Conducir las relaciones del Ayuntamiento con los poderes federales, estatales y con otros ayuntamientos.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VIII.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Eficientar la prestación de los servicios públicos municipales.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IX.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Vigilar que la recaudación de las contribuciones y demás ingresos propios del Municipio, se realicen conforme a las leyes aplicables.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Supervisar la administración, registro, control, uso, mantenimiento y conservación del patrimonio municipal.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Rendir en el mes de septiembre, en sesión pública y solemne, el informe anual aprobado por el Ayuntamiento, sobre el estado que guarda la administración pública municipal.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Convocar por conducto del secretario, a las sesiones de Ayuntamiento, conforme a esta Ley y al reglamento interior.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XIII.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Suscribir a nombre y con autorización del Ayuntamiento, los convenios, contratos y demás actos jurídicos que sean necesarios.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XIV.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Proponer al Ayuntamiento, las personas que deban ocupar los cargos de secretario, tesorero, contralor y a los titulares de las dependencias y entidades de la Administración Pública Municipal.</w:t>
            </w:r>
          </w:p>
        </w:tc>
      </w:tr>
      <w:tr w:rsidR="009D0846" w:rsidRPr="00404047" w:rsidTr="001F116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XV.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Nombrar y remover del cargo, a los servidores Públicos Municipales no previstos en la fracción anterior, así como conceder o negar licencias.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XVI.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Promover la educación cívica y la celebración de ceremonias públicas, conforme al calendario cívico oficial.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XVII.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Vigilar que se integren y funcionen las dependencias y entidades de la administración pública municipal.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XVIII.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Imponer las sanciones que correspondan, por violación a esta Ley, a los reglamentos, bandos de policía y buen gobierno, acuerdos y demás disposiciones administrativas de observancia general. Esta facultad podrá ser delegada; Ley Orgánica Municipal para el Estado de Guanajuato H. CONGRESO DEL ESTADO DE GUANAJUATO Expidió: LXI Legislatura Secretaría General Publicada: P.O. Núm. 146, Cuarta Parte, 11-09-2012 Instituto de Investigaciones Legislativas Última reforma: P.O. Núm. 98, Cuarta Parte, 20-06-2017 Página 29 de 97.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XIX.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Vigilar que el gasto público municipal, se realice conforme al presupuesto de egresos aprobado por el Ayuntamiento.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 xml:space="preserve"> XX.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Tener bajo su mando, los cuerpos de seguridad pública y tránsito municipal, en los términos de la ley de la materia.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color w:val="000000" w:themeColor="text1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XXI.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Solicitar autorización del Ayuntamiento, para ausentarse del Municipio por más de quince días. </w:t>
            </w: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XXII.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Coadyuvar con las autoridades federales y estatales en el ejercicio de sus atribuciones. </w:t>
            </w: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b/>
                <w:color w:val="000000" w:themeColor="text1"/>
                <w:sz w:val="36"/>
                <w:lang w:val="es-ES"/>
              </w:rPr>
            </w:pPr>
            <w:r w:rsidRPr="00D74B0C">
              <w:rPr>
                <w:rFonts w:cstheme="minorHAnsi"/>
                <w:b/>
                <w:color w:val="000000" w:themeColor="text1"/>
                <w:lang w:val="es-ES"/>
              </w:rPr>
              <w:t>XXIII.</w:t>
            </w:r>
            <w:r w:rsidRPr="00D74B0C">
              <w:rPr>
                <w:rFonts w:cstheme="minorHAnsi"/>
                <w:color w:val="000000" w:themeColor="text1"/>
                <w:lang w:val="es-ES"/>
              </w:rPr>
              <w:t xml:space="preserve"> Las demás que le señale esta Ley y otras disposiciones legales aplicables.</w:t>
            </w:r>
          </w:p>
        </w:tc>
      </w:tr>
      <w:tr w:rsidR="009D0846" w:rsidRPr="00404047" w:rsidTr="001F11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center"/>
              <w:rPr>
                <w:rFonts w:cstheme="minorHAnsi"/>
                <w:b/>
                <w:color w:val="000000" w:themeColor="text1"/>
                <w:sz w:val="44"/>
                <w:lang w:val="es-ES"/>
              </w:rPr>
            </w:pPr>
          </w:p>
        </w:tc>
      </w:tr>
      <w:tr w:rsidR="009D0846" w:rsidRPr="00404047" w:rsidTr="001F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2" w:type="dxa"/>
            <w:shd w:val="clear" w:color="auto" w:fill="auto"/>
          </w:tcPr>
          <w:p w:rsidR="009D0846" w:rsidRPr="00D74B0C" w:rsidRDefault="009D0846" w:rsidP="005A4D61">
            <w:pPr>
              <w:jc w:val="both"/>
              <w:rPr>
                <w:rFonts w:cstheme="minorHAnsi"/>
                <w:b/>
                <w:color w:val="000000" w:themeColor="text1"/>
                <w:sz w:val="44"/>
                <w:lang w:val="es-ES"/>
              </w:rPr>
            </w:pPr>
          </w:p>
        </w:tc>
      </w:tr>
    </w:tbl>
    <w:p w:rsidR="001F1169" w:rsidRPr="00D74B0C" w:rsidRDefault="001F1169" w:rsidP="001F1169">
      <w:pPr>
        <w:rPr>
          <w:rFonts w:cstheme="minorHAnsi"/>
          <w:b/>
          <w:i/>
          <w:sz w:val="24"/>
          <w:lang w:val="es-ES"/>
        </w:rPr>
      </w:pPr>
    </w:p>
    <w:p w:rsidR="001F1169" w:rsidRPr="00D74B0C" w:rsidRDefault="001F1169" w:rsidP="001F1169">
      <w:pPr>
        <w:jc w:val="center"/>
        <w:rPr>
          <w:rFonts w:cstheme="minorHAnsi"/>
          <w:b/>
          <w:i/>
          <w:sz w:val="24"/>
          <w:lang w:val="es-ES"/>
        </w:rPr>
      </w:pPr>
    </w:p>
    <w:p w:rsidR="001F1169" w:rsidRPr="00D74B0C" w:rsidRDefault="001F1169" w:rsidP="001F1169">
      <w:pPr>
        <w:jc w:val="right"/>
        <w:rPr>
          <w:rFonts w:cstheme="minorHAnsi"/>
          <w:b/>
          <w:i/>
          <w:sz w:val="40"/>
          <w:lang w:val="es-ES"/>
        </w:rPr>
      </w:pPr>
      <w:r w:rsidRPr="00D74B0C">
        <w:rPr>
          <w:rFonts w:cstheme="minorHAnsi"/>
          <w:b/>
          <w:i/>
          <w:sz w:val="24"/>
          <w:lang w:val="es-ES"/>
        </w:rPr>
        <w:t>H. AYUNTAMIENTO 2021-2024, SAN LUIS DE LA PAZ, GUANAJUATO</w:t>
      </w:r>
      <w:r w:rsidRPr="00D74B0C">
        <w:rPr>
          <w:rFonts w:cstheme="minorHAnsi"/>
          <w:b/>
          <w:i/>
          <w:sz w:val="40"/>
          <w:lang w:val="es-ES"/>
        </w:rPr>
        <w:t>.</w:t>
      </w:r>
    </w:p>
    <w:p w:rsidR="00136DFF" w:rsidRPr="00136DFF" w:rsidRDefault="00136DFF" w:rsidP="001F1169">
      <w:pPr>
        <w:jc w:val="right"/>
        <w:rPr>
          <w:lang w:val="es-ES"/>
        </w:rPr>
      </w:pPr>
    </w:p>
    <w:sectPr w:rsidR="00136DFF" w:rsidRPr="00136D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53" w:rsidRDefault="00EE0753" w:rsidP="004D49E4">
      <w:pPr>
        <w:spacing w:after="0" w:line="240" w:lineRule="auto"/>
      </w:pPr>
      <w:r>
        <w:separator/>
      </w:r>
    </w:p>
  </w:endnote>
  <w:endnote w:type="continuationSeparator" w:id="0">
    <w:p w:rsidR="00EE0753" w:rsidRDefault="00EE0753" w:rsidP="004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53" w:rsidRDefault="00EE0753" w:rsidP="004D49E4">
      <w:pPr>
        <w:spacing w:after="0" w:line="240" w:lineRule="auto"/>
      </w:pPr>
      <w:r>
        <w:separator/>
      </w:r>
    </w:p>
  </w:footnote>
  <w:footnote w:type="continuationSeparator" w:id="0">
    <w:p w:rsidR="00EE0753" w:rsidRDefault="00EE0753" w:rsidP="004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E4" w:rsidRDefault="00404047" w:rsidP="00404047">
    <w:pPr>
      <w:pStyle w:val="Encabezado"/>
      <w:tabs>
        <w:tab w:val="clear" w:pos="4419"/>
        <w:tab w:val="clear" w:pos="8838"/>
        <w:tab w:val="left" w:pos="6390"/>
        <w:tab w:val="left" w:pos="697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D6993" wp14:editId="0F382291">
          <wp:simplePos x="0" y="0"/>
          <wp:positionH relativeFrom="margin">
            <wp:posOffset>4091940</wp:posOffset>
          </wp:positionH>
          <wp:positionV relativeFrom="paragraph">
            <wp:posOffset>-392430</wp:posOffset>
          </wp:positionV>
          <wp:extent cx="1390650" cy="1285875"/>
          <wp:effectExtent l="0" t="0" r="0" b="9525"/>
          <wp:wrapNone/>
          <wp:docPr id="2" name="Imagen 1" descr="C:\Users\Lenovo Particular1\Documents\Administración 2021-2024\Concentrado 2021\Logotipo nueva administració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Lenovo Particular1\Documents\Administración 2021-2024\Concentrado 2021\Logotipo nueva administració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2B">
      <w:rPr>
        <w:noProof/>
      </w:rPr>
      <w:drawing>
        <wp:anchor distT="0" distB="0" distL="114300" distR="114300" simplePos="0" relativeHeight="251659264" behindDoc="1" locked="0" layoutInCell="1" allowOverlap="1" wp14:anchorId="3B8E6FF1" wp14:editId="62693149">
          <wp:simplePos x="0" y="0"/>
          <wp:positionH relativeFrom="margin">
            <wp:posOffset>-499110</wp:posOffset>
          </wp:positionH>
          <wp:positionV relativeFrom="paragraph">
            <wp:posOffset>-334645</wp:posOffset>
          </wp:positionV>
          <wp:extent cx="1076325" cy="1028700"/>
          <wp:effectExtent l="0" t="0" r="9525" b="0"/>
          <wp:wrapNone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2B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7600"/>
    <w:multiLevelType w:val="hybridMultilevel"/>
    <w:tmpl w:val="584A7A04"/>
    <w:lvl w:ilvl="0" w:tplc="AFCA6C4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A5531"/>
    <w:multiLevelType w:val="hybridMultilevel"/>
    <w:tmpl w:val="2D06B0E6"/>
    <w:lvl w:ilvl="0" w:tplc="00287B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A"/>
    <w:rsid w:val="00136DFF"/>
    <w:rsid w:val="00145213"/>
    <w:rsid w:val="001F1169"/>
    <w:rsid w:val="003B1402"/>
    <w:rsid w:val="00404047"/>
    <w:rsid w:val="004D49E4"/>
    <w:rsid w:val="00746C2D"/>
    <w:rsid w:val="008833CA"/>
    <w:rsid w:val="009D0846"/>
    <w:rsid w:val="00A005EB"/>
    <w:rsid w:val="00AA472B"/>
    <w:rsid w:val="00AF55C1"/>
    <w:rsid w:val="00B163FD"/>
    <w:rsid w:val="00C37EB2"/>
    <w:rsid w:val="00CB451F"/>
    <w:rsid w:val="00D74B0C"/>
    <w:rsid w:val="00DA7785"/>
    <w:rsid w:val="00DB300F"/>
    <w:rsid w:val="00E74D8F"/>
    <w:rsid w:val="00E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95BF8"/>
  <w15:chartTrackingRefBased/>
  <w15:docId w15:val="{B8EDB651-7403-4037-AE7F-46CB4DEF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  <w:style w:type="paragraph" w:styleId="Prrafodelista">
    <w:name w:val="List Paragraph"/>
    <w:basedOn w:val="Normal"/>
    <w:uiPriority w:val="34"/>
    <w:qFormat/>
    <w:rsid w:val="00DB30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9D08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-nfasis6">
    <w:name w:val="Grid Table 7 Colorful Accent 6"/>
    <w:basedOn w:val="Tablanormal"/>
    <w:uiPriority w:val="52"/>
    <w:rsid w:val="009D08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Particular1</cp:lastModifiedBy>
  <cp:revision>2</cp:revision>
  <dcterms:created xsi:type="dcterms:W3CDTF">2024-07-22T16:10:00Z</dcterms:created>
  <dcterms:modified xsi:type="dcterms:W3CDTF">2024-07-22T16:10:00Z</dcterms:modified>
</cp:coreProperties>
</file>